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5A2" w:rsidRPr="00C57A5A" w:rsidRDefault="006605A2" w:rsidP="006605A2">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C57A5A">
        <w:rPr>
          <w:rFonts w:asciiTheme="minorHAnsi" w:eastAsiaTheme="minorEastAsia" w:hAnsiTheme="minorHAnsi" w:cs="Arial"/>
          <w:bCs/>
          <w:noProof w:val="0"/>
          <w:sz w:val="22"/>
          <w:szCs w:val="22"/>
          <w:lang w:eastAsia="zh-CN"/>
        </w:rPr>
        <w:t>3</w:t>
      </w:r>
      <w:r w:rsidR="00926815">
        <w:rPr>
          <w:rFonts w:asciiTheme="minorHAnsi" w:eastAsiaTheme="minorEastAsia" w:hAnsiTheme="minorHAnsi" w:cs="Arial"/>
          <w:bCs/>
          <w:noProof w:val="0"/>
          <w:sz w:val="22"/>
          <w:szCs w:val="22"/>
          <w:lang w:eastAsia="zh-CN"/>
        </w:rPr>
        <w:t>GPP TSG-RAN WG4 Meeting #94</w:t>
      </w:r>
      <w:r w:rsidR="007E12F4">
        <w:rPr>
          <w:rFonts w:asciiTheme="minorHAnsi" w:eastAsiaTheme="minorEastAsia" w:hAnsiTheme="minorHAnsi" w:cs="Arial"/>
          <w:bCs/>
          <w:noProof w:val="0"/>
          <w:sz w:val="22"/>
          <w:szCs w:val="22"/>
          <w:lang w:eastAsia="zh-CN"/>
        </w:rPr>
        <w:t xml:space="preserve">-e        </w:t>
      </w:r>
      <w:r>
        <w:rPr>
          <w:rFonts w:asciiTheme="minorHAnsi" w:eastAsiaTheme="minorEastAsia" w:hAnsiTheme="minorHAnsi" w:cs="Arial"/>
          <w:bCs/>
          <w:noProof w:val="0"/>
          <w:sz w:val="22"/>
          <w:szCs w:val="22"/>
          <w:lang w:eastAsia="zh-CN"/>
        </w:rPr>
        <w:t xml:space="preserve">         </w:t>
      </w:r>
      <w:r w:rsidR="00A95F60">
        <w:rPr>
          <w:rFonts w:asciiTheme="minorHAnsi" w:eastAsiaTheme="minorEastAsia" w:hAnsiTheme="minorHAnsi" w:cs="Arial"/>
          <w:bCs/>
          <w:noProof w:val="0"/>
          <w:sz w:val="22"/>
          <w:szCs w:val="22"/>
          <w:lang w:eastAsia="zh-CN"/>
        </w:rPr>
        <w:t xml:space="preserve">                               </w:t>
      </w:r>
      <w:r w:rsidR="003D1720">
        <w:rPr>
          <w:rFonts w:asciiTheme="minorHAnsi" w:eastAsiaTheme="minorEastAsia" w:hAnsiTheme="minorHAnsi" w:cs="Arial"/>
          <w:bCs/>
          <w:noProof w:val="0"/>
          <w:sz w:val="22"/>
          <w:szCs w:val="22"/>
          <w:lang w:eastAsia="zh-CN"/>
        </w:rPr>
        <w:t>R4-2000928</w:t>
      </w:r>
      <w:bookmarkStart w:id="2" w:name="_GoBack"/>
      <w:bookmarkEnd w:id="2"/>
    </w:p>
    <w:p w:rsidR="00027628" w:rsidRPr="00BE6356" w:rsidRDefault="00027628" w:rsidP="00027628">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BE6356">
        <w:rPr>
          <w:rFonts w:asciiTheme="minorHAnsi" w:eastAsiaTheme="minorEastAsia" w:hAnsiTheme="minorHAnsi" w:cs="Arial"/>
          <w:bCs/>
          <w:noProof w:val="0"/>
          <w:sz w:val="22"/>
          <w:szCs w:val="22"/>
          <w:lang w:eastAsia="zh-CN"/>
        </w:rPr>
        <w:t>E-meeting, 24</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Feb. –</w:t>
      </w:r>
      <w:r w:rsidRPr="00BE6356">
        <w:rPr>
          <w:rFonts w:asciiTheme="minorHAnsi" w:eastAsiaTheme="minorEastAsia" w:hAnsiTheme="minorHAnsi" w:cs="Arial" w:hint="eastAsia"/>
          <w:bCs/>
          <w:noProof w:val="0"/>
          <w:sz w:val="22"/>
          <w:szCs w:val="22"/>
          <w:lang w:eastAsia="zh-CN"/>
        </w:rPr>
        <w:t xml:space="preserve"> </w:t>
      </w:r>
      <w:r w:rsidRPr="00BE6356">
        <w:rPr>
          <w:rFonts w:asciiTheme="minorHAnsi" w:eastAsiaTheme="minorEastAsia" w:hAnsiTheme="minorHAnsi" w:cs="Arial"/>
          <w:bCs/>
          <w:noProof w:val="0"/>
          <w:sz w:val="22"/>
          <w:szCs w:val="22"/>
          <w:lang w:eastAsia="zh-CN"/>
        </w:rPr>
        <w:t>6 Mar., 2020</w:t>
      </w:r>
    </w:p>
    <w:p w:rsidR="00926815" w:rsidRDefault="00926815"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5A4CFE">
        <w:rPr>
          <w:rFonts w:cs="Arial"/>
          <w:b/>
          <w:bCs/>
        </w:rPr>
        <w:t>8</w:t>
      </w:r>
      <w:r w:rsidR="00132EA3">
        <w:rPr>
          <w:rFonts w:cs="Arial"/>
          <w:b/>
          <w:bCs/>
        </w:rPr>
        <w:t>.</w:t>
      </w:r>
      <w:r w:rsidR="00091653">
        <w:rPr>
          <w:rFonts w:cs="Arial"/>
          <w:b/>
          <w:bCs/>
        </w:rPr>
        <w:t>1.4</w:t>
      </w:r>
      <w:r w:rsidR="005A4CFE">
        <w:rPr>
          <w:rFonts w:cs="Arial"/>
          <w:b/>
          <w:bCs/>
        </w:rPr>
        <w:t>.6</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CE4C61">
        <w:rPr>
          <w:b/>
        </w:rPr>
        <w:t>TCI switch</w:t>
      </w:r>
      <w:r w:rsidR="0052593A">
        <w:rPr>
          <w:b/>
        </w:rPr>
        <w:t xml:space="preserve"> </w:t>
      </w:r>
      <w:r w:rsidR="00DD7722">
        <w:rPr>
          <w:b/>
        </w:rPr>
        <w:t>requirement</w:t>
      </w:r>
      <w:r w:rsidR="001B2F9D">
        <w:rPr>
          <w:b/>
        </w:rPr>
        <w:t xml:space="preserve"> </w:t>
      </w:r>
      <w:r w:rsidR="000B03A9">
        <w:rPr>
          <w:b/>
        </w:rPr>
        <w:t>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544349">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90012D" w:rsidRPr="008A2C2B" w:rsidRDefault="006734ED" w:rsidP="001E3BD8">
      <w:pPr>
        <w:jc w:val="both"/>
      </w:pPr>
      <w:r w:rsidRPr="008A2C2B">
        <w:t xml:space="preserve">In this paper, </w:t>
      </w:r>
      <w:r w:rsidR="00ED40C1" w:rsidRPr="008A2C2B">
        <w:t xml:space="preserve">it provides </w:t>
      </w:r>
      <w:r w:rsidRPr="008A2C2B">
        <w:t xml:space="preserve">the view on </w:t>
      </w:r>
      <w:r w:rsidR="0059185C">
        <w:t>TCI state switch</w:t>
      </w:r>
      <w:r w:rsidR="00DD7722" w:rsidRPr="008A2C2B">
        <w:t xml:space="preserve"> </w:t>
      </w:r>
      <w:r w:rsidR="00617CB4" w:rsidRPr="008A2C2B">
        <w:t>requirement</w:t>
      </w:r>
      <w:r w:rsidR="003330A1" w:rsidRPr="008A2C2B">
        <w:t>s</w:t>
      </w:r>
      <w:r w:rsidR="00617CB4" w:rsidRPr="008A2C2B">
        <w:t xml:space="preserve"> for NR-U</w:t>
      </w:r>
      <w:r w:rsidRPr="008A2C2B">
        <w:rPr>
          <w:lang w:val="en-GB"/>
        </w:rPr>
        <w:t xml:space="preserve">. </w:t>
      </w:r>
      <w:r w:rsidR="001E3BD8" w:rsidRPr="008A2C2B">
        <w:t xml:space="preserve"> </w:t>
      </w:r>
    </w:p>
    <w:p w:rsidR="00342381" w:rsidRPr="00342381" w:rsidRDefault="001E3BD8" w:rsidP="00342381">
      <w:pPr>
        <w:pStyle w:val="1"/>
        <w:numPr>
          <w:ilvl w:val="0"/>
          <w:numId w:val="1"/>
        </w:numPr>
        <w:rPr>
          <w:rFonts w:ascii="Calibri" w:hAnsi="Calibri"/>
        </w:rPr>
      </w:pPr>
      <w:r>
        <w:rPr>
          <w:rFonts w:ascii="Calibri" w:hAnsi="Calibri"/>
        </w:rPr>
        <w:t>Discussion</w:t>
      </w:r>
    </w:p>
    <w:p w:rsidR="001A3744" w:rsidRDefault="006E0B0B" w:rsidP="00F87B6C">
      <w:pPr>
        <w:jc w:val="both"/>
        <w:rPr>
          <w:lang w:eastAsia="en-US"/>
        </w:rPr>
      </w:pPr>
      <w:r>
        <w:rPr>
          <w:lang w:eastAsia="en-US"/>
        </w:rPr>
        <w:t xml:space="preserve">For </w:t>
      </w:r>
      <w:r w:rsidR="00A13804">
        <w:rPr>
          <w:lang w:eastAsia="en-US"/>
        </w:rPr>
        <w:t xml:space="preserve">both </w:t>
      </w:r>
      <w:r>
        <w:rPr>
          <w:lang w:eastAsia="en-US"/>
        </w:rPr>
        <w:t xml:space="preserve">MAC based and RRC based TCI switch, the DRS is </w:t>
      </w:r>
      <w:r w:rsidR="00A13804">
        <w:rPr>
          <w:lang w:eastAsia="en-US"/>
        </w:rPr>
        <w:t>required</w:t>
      </w:r>
      <w:r>
        <w:rPr>
          <w:lang w:eastAsia="en-US"/>
        </w:rPr>
        <w:t xml:space="preserve"> for fine time synchronization </w:t>
      </w:r>
      <w:r w:rsidR="00A13804">
        <w:rPr>
          <w:lang w:eastAsia="en-US"/>
        </w:rPr>
        <w:t>in the known TCI switch, and it is required for RX beam refinement</w:t>
      </w:r>
      <w:r w:rsidR="001C5786">
        <w:rPr>
          <w:lang w:eastAsia="en-US"/>
        </w:rPr>
        <w:t xml:space="preserve"> with L1-RSRP measurements</w:t>
      </w:r>
      <w:r w:rsidR="00A13804">
        <w:rPr>
          <w:lang w:eastAsia="en-US"/>
        </w:rPr>
        <w:t xml:space="preserve"> and also fine time synchronization in unknown TCI switch. </w:t>
      </w:r>
      <w:r w:rsidR="004B2988">
        <w:rPr>
          <w:lang w:eastAsia="en-US"/>
        </w:rPr>
        <w:t xml:space="preserve">Therefore, </w:t>
      </w:r>
      <w:r w:rsidR="001A3744">
        <w:rPr>
          <w:lang w:eastAsia="en-US"/>
        </w:rPr>
        <w:t>when DL LBT fails,</w:t>
      </w:r>
      <w:r w:rsidR="00A65CDC">
        <w:rPr>
          <w:lang w:eastAsia="en-US"/>
        </w:rPr>
        <w:t xml:space="preserve"> additional</w:t>
      </w:r>
      <w:r w:rsidR="00AC18CE">
        <w:rPr>
          <w:lang w:eastAsia="en-US"/>
        </w:rPr>
        <w:t xml:space="preserve"> time is required for UE </w:t>
      </w:r>
      <w:r w:rsidR="004B2988">
        <w:rPr>
          <w:lang w:eastAsia="en-US"/>
        </w:rPr>
        <w:t xml:space="preserve">to </w:t>
      </w:r>
      <w:r w:rsidR="00D6659A">
        <w:rPr>
          <w:lang w:eastAsia="en-US"/>
        </w:rPr>
        <w:t>acquire</w:t>
      </w:r>
      <w:r w:rsidR="001A3744">
        <w:rPr>
          <w:lang w:eastAsia="en-US"/>
        </w:rPr>
        <w:t xml:space="preserve"> for </w:t>
      </w:r>
      <w:r w:rsidR="00A65CDC">
        <w:rPr>
          <w:lang w:eastAsia="en-US"/>
        </w:rPr>
        <w:t>available DRS sample</w:t>
      </w:r>
      <w:r w:rsidR="001A3744">
        <w:rPr>
          <w:lang w:eastAsia="en-US"/>
        </w:rPr>
        <w:t>s</w:t>
      </w:r>
      <w:r w:rsidR="00D05AF6">
        <w:rPr>
          <w:lang w:eastAsia="en-US"/>
        </w:rPr>
        <w:t>, in order</w:t>
      </w:r>
      <w:r w:rsidR="00A65CDC">
        <w:rPr>
          <w:lang w:eastAsia="en-US"/>
        </w:rPr>
        <w:t xml:space="preserve"> to </w:t>
      </w:r>
      <w:r w:rsidR="00D6659A">
        <w:rPr>
          <w:lang w:eastAsia="en-US"/>
        </w:rPr>
        <w:t xml:space="preserve">well </w:t>
      </w:r>
      <w:r w:rsidR="004B2988">
        <w:rPr>
          <w:lang w:eastAsia="en-US"/>
        </w:rPr>
        <w:t>synchroniz</w:t>
      </w:r>
      <w:r w:rsidR="00D05AF6">
        <w:rPr>
          <w:lang w:eastAsia="en-US"/>
        </w:rPr>
        <w:t>ing</w:t>
      </w:r>
      <w:r w:rsidR="001A3744">
        <w:rPr>
          <w:lang w:eastAsia="en-US"/>
        </w:rPr>
        <w:t xml:space="preserve"> with the new TCI state. In addition, for unknown TCI switch, additional time is also required for UE to find the suitable RX beam for the new TCI stat</w:t>
      </w:r>
      <w:r w:rsidR="009654C7">
        <w:rPr>
          <w:lang w:eastAsia="en-US"/>
        </w:rPr>
        <w:t>e</w:t>
      </w:r>
      <w:r w:rsidR="001A3744">
        <w:rPr>
          <w:lang w:eastAsia="en-US"/>
        </w:rPr>
        <w:t>.</w:t>
      </w:r>
    </w:p>
    <w:p w:rsidR="00791260" w:rsidRPr="00342381" w:rsidRDefault="00A65CDC" w:rsidP="00F87B6C">
      <w:pPr>
        <w:jc w:val="both"/>
        <w:rPr>
          <w:b/>
        </w:rPr>
      </w:pPr>
      <w:bookmarkStart w:id="3" w:name="_Ref31884255"/>
      <w:r w:rsidRPr="003B4CA6">
        <w:rPr>
          <w:rFonts w:ascii="Calibri" w:eastAsia="SimSun" w:hAnsi="Calibri" w:cs="Arial"/>
          <w:b/>
          <w:bCs/>
        </w:rPr>
        <w:t xml:space="preserve">Observation </w:t>
      </w:r>
      <w:r w:rsidR="00821933"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00821933" w:rsidRPr="003B4CA6">
        <w:rPr>
          <w:rFonts w:ascii="Calibri" w:eastAsia="SimSun" w:hAnsi="Calibri" w:cs="Arial"/>
          <w:b/>
          <w:bCs/>
        </w:rPr>
        <w:fldChar w:fldCharType="separate"/>
      </w:r>
      <w:r w:rsidR="00C3745F">
        <w:rPr>
          <w:rFonts w:ascii="Calibri" w:eastAsia="SimSun" w:hAnsi="Calibri" w:cs="Arial"/>
          <w:b/>
          <w:bCs/>
          <w:noProof/>
        </w:rPr>
        <w:t>1</w:t>
      </w:r>
      <w:r w:rsidR="00821933" w:rsidRPr="003B4CA6">
        <w:rPr>
          <w:rFonts w:ascii="Calibri" w:eastAsia="SimSun" w:hAnsi="Calibri" w:cs="Arial"/>
          <w:b/>
          <w:bCs/>
        </w:rPr>
        <w:fldChar w:fldCharType="end"/>
      </w:r>
      <w:r w:rsidRPr="003B4CA6">
        <w:rPr>
          <w:rFonts w:ascii="Calibri" w:eastAsia="SimSun" w:hAnsi="Calibri" w:cs="Arial"/>
          <w:b/>
          <w:bCs/>
        </w:rPr>
        <w:t xml:space="preserve">: </w:t>
      </w:r>
      <w:r w:rsidR="001A3744">
        <w:rPr>
          <w:b/>
        </w:rPr>
        <w:t>W</w:t>
      </w:r>
      <w:r w:rsidR="001A3744" w:rsidRPr="001A3744">
        <w:rPr>
          <w:b/>
        </w:rPr>
        <w:t>hen DL LBT fails</w:t>
      </w:r>
      <w:r w:rsidR="001A3744">
        <w:rPr>
          <w:b/>
        </w:rPr>
        <w:t xml:space="preserve">, </w:t>
      </w:r>
      <w:r w:rsidR="001A3744" w:rsidRPr="001A3744">
        <w:rPr>
          <w:b/>
        </w:rPr>
        <w:t>additional time is required for UE to synchronize</w:t>
      </w:r>
      <w:r w:rsidR="001A3744">
        <w:rPr>
          <w:b/>
        </w:rPr>
        <w:t xml:space="preserve"> </w:t>
      </w:r>
      <w:r w:rsidR="001A3744" w:rsidRPr="001A3744">
        <w:rPr>
          <w:b/>
        </w:rPr>
        <w:t>with the new TCI state</w:t>
      </w:r>
      <w:r w:rsidR="001A3744">
        <w:rPr>
          <w:b/>
        </w:rPr>
        <w:t>. In addition,</w:t>
      </w:r>
      <w:r w:rsidR="001A3744" w:rsidRPr="001A3744">
        <w:rPr>
          <w:b/>
        </w:rPr>
        <w:t xml:space="preserve"> for unknown TCI switch</w:t>
      </w:r>
      <w:r w:rsidR="001A3744">
        <w:rPr>
          <w:b/>
        </w:rPr>
        <w:t>,</w:t>
      </w:r>
      <w:r w:rsidR="001A3744" w:rsidRPr="001A3744">
        <w:rPr>
          <w:b/>
        </w:rPr>
        <w:t xml:space="preserve"> additional time is </w:t>
      </w:r>
      <w:r w:rsidR="001A3744">
        <w:rPr>
          <w:b/>
        </w:rPr>
        <w:t xml:space="preserve">also </w:t>
      </w:r>
      <w:r w:rsidR="001A3744" w:rsidRPr="001A3744">
        <w:rPr>
          <w:b/>
        </w:rPr>
        <w:t xml:space="preserve">required for RX beam </w:t>
      </w:r>
      <w:r w:rsidR="001A3744">
        <w:rPr>
          <w:b/>
        </w:rPr>
        <w:t>refinement.</w:t>
      </w:r>
      <w:bookmarkEnd w:id="3"/>
      <w:r w:rsidR="001A3744">
        <w:rPr>
          <w:b/>
        </w:rPr>
        <w:t xml:space="preserve"> </w:t>
      </w:r>
    </w:p>
    <w:p w:rsidR="00D6659A" w:rsidRDefault="00540FF3" w:rsidP="00540FF3">
      <w:pPr>
        <w:jc w:val="both"/>
        <w:rPr>
          <w:lang w:eastAsia="en-US"/>
        </w:rPr>
      </w:pPr>
      <w:r w:rsidRPr="006D3424">
        <w:t xml:space="preserve">One </w:t>
      </w:r>
      <w:r w:rsidRPr="006D3424">
        <w:rPr>
          <w:lang w:eastAsia="en-US"/>
        </w:rPr>
        <w:t xml:space="preserve">remaining issue </w:t>
      </w:r>
      <w:r w:rsidRPr="006D3424">
        <w:t xml:space="preserve">is that the UE behavior when </w:t>
      </w:r>
      <w:r>
        <w:t xml:space="preserve">the additional time is extended too long, i.e. </w:t>
      </w:r>
      <w:r>
        <w:rPr>
          <w:lang w:eastAsia="en-US"/>
        </w:rPr>
        <w:t xml:space="preserve">exceeding </w:t>
      </w:r>
      <w:r w:rsidR="00D6659A" w:rsidRPr="00540FF3">
        <w:rPr>
          <w:i/>
          <w:lang w:eastAsia="en-US"/>
        </w:rPr>
        <w:t>L</w:t>
      </w:r>
      <w:r w:rsidR="00D6659A">
        <w:rPr>
          <w:i/>
          <w:lang w:eastAsia="en-US"/>
        </w:rPr>
        <w:t>,</w:t>
      </w:r>
      <w:r w:rsidR="00D6659A" w:rsidRPr="006D3424">
        <w:rPr>
          <w:lang w:eastAsia="en-US"/>
        </w:rPr>
        <w:t xml:space="preserve"> </w:t>
      </w:r>
      <w:r w:rsidRPr="006D3424">
        <w:rPr>
          <w:lang w:eastAsia="en-US"/>
        </w:rPr>
        <w:t>the maximum number of DL LBT failures</w:t>
      </w:r>
      <w:r>
        <w:rPr>
          <w:lang w:eastAsia="en-US"/>
        </w:rPr>
        <w:t>.</w:t>
      </w:r>
      <w:r w:rsidRPr="006D3424">
        <w:rPr>
          <w:lang w:eastAsia="en-US"/>
        </w:rPr>
        <w:t xml:space="preserve"> </w:t>
      </w:r>
      <w:r w:rsidR="00556E05">
        <w:rPr>
          <w:lang w:eastAsia="en-US"/>
        </w:rPr>
        <w:t xml:space="preserve">It can </w:t>
      </w:r>
      <w:r w:rsidR="0044120D">
        <w:rPr>
          <w:lang w:eastAsia="en-US"/>
        </w:rPr>
        <w:t xml:space="preserve">be </w:t>
      </w:r>
      <w:r w:rsidR="00556E05">
        <w:rPr>
          <w:lang w:eastAsia="en-US"/>
        </w:rPr>
        <w:t>observe</w:t>
      </w:r>
      <w:r w:rsidR="0044120D">
        <w:rPr>
          <w:lang w:eastAsia="en-US"/>
        </w:rPr>
        <w:t>d</w:t>
      </w:r>
      <w:r w:rsidR="00556E05">
        <w:rPr>
          <w:lang w:eastAsia="en-US"/>
        </w:rPr>
        <w:t xml:space="preserve"> </w:t>
      </w:r>
      <w:r w:rsidR="009654C7">
        <w:rPr>
          <w:lang w:eastAsia="en-US"/>
        </w:rPr>
        <w:t>that</w:t>
      </w:r>
      <w:r w:rsidR="00653626">
        <w:rPr>
          <w:lang w:eastAsia="en-US"/>
        </w:rPr>
        <w:t xml:space="preserve"> </w:t>
      </w:r>
      <w:r w:rsidR="00AA27F2">
        <w:rPr>
          <w:lang w:eastAsia="en-US"/>
        </w:rPr>
        <w:t>many DL LBT failures</w:t>
      </w:r>
      <w:r w:rsidR="00556E05">
        <w:rPr>
          <w:lang w:eastAsia="en-US"/>
        </w:rPr>
        <w:t xml:space="preserve"> </w:t>
      </w:r>
      <w:r w:rsidR="00B72357">
        <w:rPr>
          <w:lang w:eastAsia="en-US"/>
        </w:rPr>
        <w:t>are</w:t>
      </w:r>
      <w:r w:rsidR="009654C7">
        <w:rPr>
          <w:lang w:eastAsia="en-US"/>
        </w:rPr>
        <w:t xml:space="preserve"> </w:t>
      </w:r>
      <w:r w:rsidR="00556E05">
        <w:rPr>
          <w:lang w:eastAsia="en-US"/>
        </w:rPr>
        <w:t xml:space="preserve">caused by high </w:t>
      </w:r>
      <w:r w:rsidR="00AA27F2">
        <w:rPr>
          <w:lang w:eastAsia="en-US"/>
        </w:rPr>
        <w:t xml:space="preserve">loading on the current carrier, and </w:t>
      </w:r>
      <w:r w:rsidR="000C2504">
        <w:rPr>
          <w:lang w:eastAsia="en-US"/>
        </w:rPr>
        <w:t xml:space="preserve">the </w:t>
      </w:r>
      <w:r w:rsidR="00AA27F2">
        <w:rPr>
          <w:lang w:eastAsia="en-US"/>
        </w:rPr>
        <w:t>TCI</w:t>
      </w:r>
      <w:r w:rsidR="00144B88">
        <w:rPr>
          <w:lang w:eastAsia="en-US"/>
        </w:rPr>
        <w:t xml:space="preserve"> switch </w:t>
      </w:r>
      <w:r w:rsidR="009654C7">
        <w:rPr>
          <w:lang w:eastAsia="en-US"/>
        </w:rPr>
        <w:t>can</w:t>
      </w:r>
      <w:r w:rsidR="00144B88">
        <w:rPr>
          <w:lang w:eastAsia="en-US"/>
        </w:rPr>
        <w:t>not</w:t>
      </w:r>
      <w:r w:rsidR="00AA27F2">
        <w:rPr>
          <w:lang w:eastAsia="en-US"/>
        </w:rPr>
        <w:t xml:space="preserve"> resolve the load</w:t>
      </w:r>
      <w:r w:rsidR="00C7261B">
        <w:rPr>
          <w:lang w:eastAsia="en-US"/>
        </w:rPr>
        <w:t>ing</w:t>
      </w:r>
      <w:r w:rsidR="00AA27F2">
        <w:rPr>
          <w:lang w:eastAsia="en-US"/>
        </w:rPr>
        <w:t xml:space="preserve"> problem. </w:t>
      </w:r>
      <w:r w:rsidR="00161883">
        <w:rPr>
          <w:lang w:eastAsia="en-US"/>
        </w:rPr>
        <w:t>In the other words, stay</w:t>
      </w:r>
      <w:r w:rsidR="00144B88">
        <w:rPr>
          <w:lang w:eastAsia="en-US"/>
        </w:rPr>
        <w:t>ing</w:t>
      </w:r>
      <w:r w:rsidR="00161883">
        <w:rPr>
          <w:lang w:eastAsia="en-US"/>
        </w:rPr>
        <w:t xml:space="preserve"> in the old TCI state or </w:t>
      </w:r>
      <w:r w:rsidR="009654C7">
        <w:rPr>
          <w:lang w:eastAsia="en-US"/>
        </w:rPr>
        <w:t xml:space="preserve">switching </w:t>
      </w:r>
      <w:r w:rsidR="00161883">
        <w:rPr>
          <w:lang w:eastAsia="en-US"/>
        </w:rPr>
        <w:t>to the new TCI state</w:t>
      </w:r>
      <w:r w:rsidR="00C7261B">
        <w:rPr>
          <w:lang w:eastAsia="en-US"/>
        </w:rPr>
        <w:t xml:space="preserve"> would have the similar</w:t>
      </w:r>
      <w:r w:rsidR="00161883">
        <w:rPr>
          <w:lang w:eastAsia="en-US"/>
        </w:rPr>
        <w:t xml:space="preserve"> DL LBT failure rate. </w:t>
      </w:r>
    </w:p>
    <w:p w:rsidR="00556E05" w:rsidRDefault="00556E05" w:rsidP="00556E05">
      <w:pPr>
        <w:jc w:val="both"/>
        <w:rPr>
          <w:b/>
        </w:rPr>
      </w:pPr>
      <w:bookmarkStart w:id="4" w:name="_Ref31884259"/>
      <w:r w:rsidRPr="003B4CA6">
        <w:rPr>
          <w:rFonts w:ascii="Calibri" w:eastAsia="SimSun" w:hAnsi="Calibri" w:cs="Arial"/>
          <w:b/>
          <w:bCs/>
        </w:rPr>
        <w:t xml:space="preserve">Observation </w:t>
      </w:r>
      <w:r w:rsidR="00821933"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00821933" w:rsidRPr="003B4CA6">
        <w:rPr>
          <w:rFonts w:ascii="Calibri" w:eastAsia="SimSun" w:hAnsi="Calibri" w:cs="Arial"/>
          <w:b/>
          <w:bCs/>
        </w:rPr>
        <w:fldChar w:fldCharType="separate"/>
      </w:r>
      <w:r w:rsidR="00C3745F">
        <w:rPr>
          <w:rFonts w:ascii="Calibri" w:eastAsia="SimSun" w:hAnsi="Calibri" w:cs="Arial"/>
          <w:b/>
          <w:bCs/>
          <w:noProof/>
        </w:rPr>
        <w:t>2</w:t>
      </w:r>
      <w:r w:rsidR="00821933" w:rsidRPr="003B4CA6">
        <w:rPr>
          <w:rFonts w:ascii="Calibri" w:eastAsia="SimSun" w:hAnsi="Calibri" w:cs="Arial"/>
          <w:b/>
          <w:bCs/>
        </w:rPr>
        <w:fldChar w:fldCharType="end"/>
      </w:r>
      <w:r w:rsidRPr="003B4CA6">
        <w:rPr>
          <w:rFonts w:ascii="Calibri" w:eastAsia="SimSun" w:hAnsi="Calibri" w:cs="Arial"/>
          <w:b/>
          <w:bCs/>
        </w:rPr>
        <w:t xml:space="preserve">: </w:t>
      </w:r>
      <w:r>
        <w:rPr>
          <w:b/>
        </w:rPr>
        <w:t xml:space="preserve">Exceeding the maximum number of DL LBT failures (i.e. </w:t>
      </w:r>
      <w:r w:rsidRPr="00687F82">
        <w:rPr>
          <w:b/>
          <w:i/>
        </w:rPr>
        <w:t>L</w:t>
      </w:r>
      <w:r>
        <w:rPr>
          <w:b/>
        </w:rPr>
        <w:t xml:space="preserve">) is led by heavy </w:t>
      </w:r>
      <w:r w:rsidR="00AA27F2">
        <w:rPr>
          <w:b/>
        </w:rPr>
        <w:t xml:space="preserve">loading on the </w:t>
      </w:r>
      <w:r w:rsidR="00873729">
        <w:rPr>
          <w:b/>
        </w:rPr>
        <w:t>unlicensed band</w:t>
      </w:r>
      <w:r w:rsidR="00AA27F2">
        <w:rPr>
          <w:b/>
        </w:rPr>
        <w:t xml:space="preserve">, and </w:t>
      </w:r>
      <w:r w:rsidR="00A86D3F">
        <w:rPr>
          <w:b/>
        </w:rPr>
        <w:t>stay</w:t>
      </w:r>
      <w:r w:rsidR="009654C7">
        <w:rPr>
          <w:b/>
        </w:rPr>
        <w:t>ing</w:t>
      </w:r>
      <w:r w:rsidR="00A86D3F">
        <w:rPr>
          <w:b/>
        </w:rPr>
        <w:t xml:space="preserve"> in the old TCI would still encounter </w:t>
      </w:r>
      <w:r w:rsidR="00C07AFB">
        <w:rPr>
          <w:b/>
        </w:rPr>
        <w:t>the high DL LBT failure rate.</w:t>
      </w:r>
      <w:bookmarkEnd w:id="4"/>
      <w:r w:rsidR="00C07AFB">
        <w:rPr>
          <w:b/>
        </w:rPr>
        <w:t xml:space="preserve"> </w:t>
      </w:r>
    </w:p>
    <w:p w:rsidR="006361F2" w:rsidRDefault="00F92145" w:rsidP="00540FF3">
      <w:pPr>
        <w:jc w:val="both"/>
      </w:pPr>
      <w:r>
        <w:t xml:space="preserve">The </w:t>
      </w:r>
      <w:r w:rsidR="006B415B">
        <w:t xml:space="preserve">active </w:t>
      </w:r>
      <w:r>
        <w:t xml:space="preserve">TCI </w:t>
      </w:r>
      <w:r w:rsidR="006B415B">
        <w:t xml:space="preserve">state </w:t>
      </w:r>
      <w:r>
        <w:t>switch</w:t>
      </w:r>
      <w:r w:rsidR="006B415B">
        <w:t>ing</w:t>
      </w:r>
      <w:r>
        <w:t xml:space="preserve"> is triggered by beam management purpose. If the beam with the old TCI state is getting worse, network would </w:t>
      </w:r>
      <w:r w:rsidR="00C57FBE">
        <w:t xml:space="preserve">switch </w:t>
      </w:r>
      <w:r>
        <w:t xml:space="preserve">the beam </w:t>
      </w:r>
      <w:r w:rsidR="006361F2">
        <w:t xml:space="preserve">to the </w:t>
      </w:r>
      <w:r>
        <w:t xml:space="preserve">new TCI state. </w:t>
      </w:r>
      <w:r w:rsidR="006361F2">
        <w:t xml:space="preserve">When the DL LBT failure occurs too often during the TCI switch process, the reason for network to trigger TCI state switch should still be valid, i.e. the beam with old TCI state is still bad. </w:t>
      </w:r>
      <w:r w:rsidR="004B4610">
        <w:t>Therefore, if UE stay</w:t>
      </w:r>
      <w:r w:rsidR="00D642CB">
        <w:t>s</w:t>
      </w:r>
      <w:r w:rsidR="004B4610">
        <w:t xml:space="preserve"> in the old TCI state, it will lose the opportu</w:t>
      </w:r>
      <w:r w:rsidR="00126BBA">
        <w:t xml:space="preserve">nity to apply </w:t>
      </w:r>
      <w:r w:rsidR="006B415B">
        <w:t xml:space="preserve">better </w:t>
      </w:r>
      <w:r w:rsidR="00126BBA">
        <w:t xml:space="preserve">beam and </w:t>
      </w:r>
      <w:r w:rsidR="00081073">
        <w:t>increase the probability of beam failure</w:t>
      </w:r>
      <w:r w:rsidR="00126BBA">
        <w:t>.</w:t>
      </w:r>
    </w:p>
    <w:p w:rsidR="006361F2" w:rsidRDefault="006361F2" w:rsidP="006361F2">
      <w:pPr>
        <w:jc w:val="both"/>
        <w:rPr>
          <w:b/>
        </w:rPr>
      </w:pPr>
      <w:bookmarkStart w:id="5" w:name="_Ref31884262"/>
      <w:r w:rsidRPr="003B4CA6">
        <w:rPr>
          <w:rFonts w:ascii="Calibri" w:eastAsia="SimSun" w:hAnsi="Calibri" w:cs="Arial"/>
          <w:b/>
          <w:bCs/>
        </w:rPr>
        <w:t xml:space="preserve">Observation </w:t>
      </w:r>
      <w:r w:rsidR="00821933"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00821933" w:rsidRPr="003B4CA6">
        <w:rPr>
          <w:rFonts w:ascii="Calibri" w:eastAsia="SimSun" w:hAnsi="Calibri" w:cs="Arial"/>
          <w:b/>
          <w:bCs/>
        </w:rPr>
        <w:fldChar w:fldCharType="separate"/>
      </w:r>
      <w:r w:rsidR="00C3745F">
        <w:rPr>
          <w:rFonts w:ascii="Calibri" w:eastAsia="SimSun" w:hAnsi="Calibri" w:cs="Arial"/>
          <w:b/>
          <w:bCs/>
          <w:noProof/>
        </w:rPr>
        <w:t>3</w:t>
      </w:r>
      <w:r w:rsidR="00821933" w:rsidRPr="003B4CA6">
        <w:rPr>
          <w:rFonts w:ascii="Calibri" w:eastAsia="SimSun" w:hAnsi="Calibri" w:cs="Arial"/>
          <w:b/>
          <w:bCs/>
        </w:rPr>
        <w:fldChar w:fldCharType="end"/>
      </w:r>
      <w:r w:rsidRPr="003B4CA6">
        <w:rPr>
          <w:rFonts w:ascii="Calibri" w:eastAsia="SimSun" w:hAnsi="Calibri" w:cs="Arial"/>
          <w:b/>
          <w:bCs/>
        </w:rPr>
        <w:t xml:space="preserve">: </w:t>
      </w:r>
      <w:r>
        <w:rPr>
          <w:b/>
        </w:rPr>
        <w:t>T</w:t>
      </w:r>
      <w:r w:rsidRPr="00DF156E">
        <w:rPr>
          <w:b/>
        </w:rPr>
        <w:t>he reason for network to trigger TCI state switch should still be valid even after several LBT failures</w:t>
      </w:r>
      <w:r>
        <w:rPr>
          <w:b/>
        </w:rPr>
        <w:t xml:space="preserve">. Staying in the old TCI state </w:t>
      </w:r>
      <w:r w:rsidR="00873729">
        <w:rPr>
          <w:b/>
        </w:rPr>
        <w:t>will</w:t>
      </w:r>
      <w:r>
        <w:rPr>
          <w:b/>
        </w:rPr>
        <w:t xml:space="preserve"> </w:t>
      </w:r>
      <w:r w:rsidR="00081073">
        <w:rPr>
          <w:b/>
        </w:rPr>
        <w:t>increase the probability of beam failure.</w:t>
      </w:r>
      <w:bookmarkEnd w:id="5"/>
      <w:r w:rsidR="00081073">
        <w:rPr>
          <w:b/>
        </w:rPr>
        <w:t xml:space="preserve"> </w:t>
      </w:r>
    </w:p>
    <w:p w:rsidR="00540FF3" w:rsidRDefault="0012751B" w:rsidP="00540FF3">
      <w:pPr>
        <w:jc w:val="both"/>
      </w:pPr>
      <w:r>
        <w:t xml:space="preserve">In addition, the </w:t>
      </w:r>
      <w:r w:rsidRPr="0012751B">
        <w:t>DL LBT failures is known at network</w:t>
      </w:r>
      <w:r>
        <w:t xml:space="preserve">. If the command for new TCI switch is considered as outdated due to the long extension, network is able to trigger another up-to-date TCI to override the original TCI switch command. </w:t>
      </w:r>
      <w:r w:rsidR="00D642CB">
        <w:t>Note that consistent LBT failure on DRS transmission does not means network has no chance to further update the TCI-sate through MAC or RRC.</w:t>
      </w:r>
    </w:p>
    <w:p w:rsidR="003A7D27" w:rsidRPr="00CF1A23" w:rsidRDefault="00FE0562" w:rsidP="00CF1A23">
      <w:pPr>
        <w:jc w:val="both"/>
        <w:rPr>
          <w:lang w:eastAsia="en-US"/>
        </w:rPr>
      </w:pPr>
      <w:bookmarkStart w:id="6" w:name="_Ref31884264"/>
      <w:r w:rsidRPr="003B4CA6">
        <w:rPr>
          <w:rFonts w:ascii="Calibri" w:eastAsia="SimSun" w:hAnsi="Calibri" w:cs="Arial"/>
          <w:b/>
          <w:bCs/>
        </w:rPr>
        <w:t xml:space="preserve">Observation </w:t>
      </w:r>
      <w:r w:rsidR="00821933"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00821933" w:rsidRPr="003B4CA6">
        <w:rPr>
          <w:rFonts w:ascii="Calibri" w:eastAsia="SimSun" w:hAnsi="Calibri" w:cs="Arial"/>
          <w:b/>
          <w:bCs/>
        </w:rPr>
        <w:fldChar w:fldCharType="separate"/>
      </w:r>
      <w:r w:rsidR="00C3745F">
        <w:rPr>
          <w:rFonts w:ascii="Calibri" w:eastAsia="SimSun" w:hAnsi="Calibri" w:cs="Arial"/>
          <w:b/>
          <w:bCs/>
          <w:noProof/>
        </w:rPr>
        <w:t>4</w:t>
      </w:r>
      <w:r w:rsidR="00821933" w:rsidRPr="003B4CA6">
        <w:rPr>
          <w:rFonts w:ascii="Calibri" w:eastAsia="SimSun" w:hAnsi="Calibri" w:cs="Arial"/>
          <w:b/>
          <w:bCs/>
        </w:rPr>
        <w:fldChar w:fldCharType="end"/>
      </w:r>
      <w:r w:rsidRPr="003B4CA6">
        <w:rPr>
          <w:rFonts w:ascii="Calibri" w:eastAsia="SimSun" w:hAnsi="Calibri" w:cs="Arial"/>
          <w:b/>
          <w:bCs/>
        </w:rPr>
        <w:t xml:space="preserve">: </w:t>
      </w:r>
      <w:r>
        <w:rPr>
          <w:b/>
        </w:rPr>
        <w:t xml:space="preserve">The DL LBT </w:t>
      </w:r>
      <w:r w:rsidR="00873729">
        <w:rPr>
          <w:b/>
        </w:rPr>
        <w:t>failure</w:t>
      </w:r>
      <w:r>
        <w:rPr>
          <w:b/>
        </w:rPr>
        <w:t xml:space="preserve"> is known at network. </w:t>
      </w:r>
      <w:r w:rsidR="005F3906">
        <w:rPr>
          <w:b/>
        </w:rPr>
        <w:t xml:space="preserve">Network is able to trigger </w:t>
      </w:r>
      <w:r w:rsidR="0012751B">
        <w:rPr>
          <w:b/>
        </w:rPr>
        <w:t xml:space="preserve">another </w:t>
      </w:r>
      <w:r w:rsidR="005F3906">
        <w:rPr>
          <w:b/>
        </w:rPr>
        <w:t>new TCI state switch if the</w:t>
      </w:r>
      <w:r w:rsidR="00CF1A23">
        <w:rPr>
          <w:b/>
        </w:rPr>
        <w:t xml:space="preserve"> original</w:t>
      </w:r>
      <w:r w:rsidR="005F3906">
        <w:rPr>
          <w:b/>
        </w:rPr>
        <w:t xml:space="preserve"> TCI state switch </w:t>
      </w:r>
      <w:r w:rsidR="00CF1A23">
        <w:rPr>
          <w:b/>
        </w:rPr>
        <w:t xml:space="preserve">command </w:t>
      </w:r>
      <w:r w:rsidR="005F3906">
        <w:rPr>
          <w:b/>
        </w:rPr>
        <w:t>is considered as outdated.</w:t>
      </w:r>
      <w:bookmarkEnd w:id="6"/>
      <w:r w:rsidR="005F3906">
        <w:rPr>
          <w:b/>
        </w:rPr>
        <w:t xml:space="preserve"> </w:t>
      </w:r>
    </w:p>
    <w:p w:rsidR="00004DFF" w:rsidRDefault="006361F2" w:rsidP="003A7D27">
      <w:r>
        <w:lastRenderedPageBreak/>
        <w:t xml:space="preserve">Based on the above discussion, it seems no benefit to </w:t>
      </w:r>
      <w:r w:rsidR="00CB3B59">
        <w:t xml:space="preserve">abandon the </w:t>
      </w:r>
      <w:r w:rsidR="00475DFA">
        <w:t>command of TCI state switch</w:t>
      </w:r>
      <w:r>
        <w:t xml:space="preserve">. </w:t>
      </w:r>
      <w:r w:rsidR="00475DFA">
        <w:t xml:space="preserve">UE should keep trying to sync with the new TCI-state </w:t>
      </w:r>
      <w:r w:rsidR="00475DFA" w:rsidRPr="004F0B3A">
        <w:t>till sufficient DRS samples are received or further TCI-state switch request received from network</w:t>
      </w:r>
      <w:r w:rsidR="00475DFA">
        <w:t>.</w:t>
      </w:r>
    </w:p>
    <w:p w:rsidR="003A7D27" w:rsidRPr="008D43D6" w:rsidRDefault="00C95866" w:rsidP="008D43D6">
      <w:pPr>
        <w:pStyle w:val="af1"/>
        <w:jc w:val="both"/>
        <w:rPr>
          <w:rFonts w:ascii="Calibri" w:eastAsia="SimSun" w:hAnsi="Calibri" w:cs="Arial"/>
          <w:bCs/>
          <w:sz w:val="22"/>
          <w:szCs w:val="22"/>
        </w:rPr>
      </w:pPr>
      <w:bookmarkStart w:id="7" w:name="_Ref20989085"/>
      <w:bookmarkStart w:id="8" w:name="_Ref24050865"/>
      <w:bookmarkStart w:id="9" w:name="_Ref31884268"/>
      <w:r w:rsidRPr="00CF1A23">
        <w:rPr>
          <w:rFonts w:ascii="Calibri" w:eastAsia="SimSun" w:hAnsi="Calibri" w:cs="Arial"/>
          <w:bCs/>
          <w:sz w:val="22"/>
          <w:szCs w:val="22"/>
        </w:rPr>
        <w:t xml:space="preserve">Proposal </w:t>
      </w:r>
      <w:r w:rsidR="00821933" w:rsidRPr="00CF1A23">
        <w:rPr>
          <w:rFonts w:ascii="Calibri" w:eastAsia="SimSun" w:hAnsi="Calibri" w:cs="Arial"/>
          <w:bCs/>
          <w:sz w:val="22"/>
          <w:szCs w:val="22"/>
        </w:rPr>
        <w:fldChar w:fldCharType="begin"/>
      </w:r>
      <w:r w:rsidRPr="00CF1A23">
        <w:rPr>
          <w:rFonts w:ascii="Calibri" w:eastAsia="SimSun" w:hAnsi="Calibri" w:cs="Arial"/>
          <w:bCs/>
          <w:sz w:val="22"/>
          <w:szCs w:val="22"/>
        </w:rPr>
        <w:instrText xml:space="preserve"> SEQ Proposal \* ARABIC </w:instrText>
      </w:r>
      <w:r w:rsidR="00821933" w:rsidRPr="00CF1A23">
        <w:rPr>
          <w:rFonts w:ascii="Calibri" w:eastAsia="SimSun" w:hAnsi="Calibri" w:cs="Arial"/>
          <w:bCs/>
          <w:sz w:val="22"/>
          <w:szCs w:val="22"/>
        </w:rPr>
        <w:fldChar w:fldCharType="separate"/>
      </w:r>
      <w:r w:rsidR="00C3745F">
        <w:rPr>
          <w:rFonts w:ascii="Calibri" w:eastAsia="SimSun" w:hAnsi="Calibri" w:cs="Arial"/>
          <w:bCs/>
          <w:noProof/>
          <w:sz w:val="22"/>
          <w:szCs w:val="22"/>
        </w:rPr>
        <w:t>1</w:t>
      </w:r>
      <w:r w:rsidR="00821933" w:rsidRPr="00CF1A23">
        <w:rPr>
          <w:rFonts w:ascii="Calibri" w:eastAsia="SimSun" w:hAnsi="Calibri" w:cs="Arial"/>
          <w:bCs/>
          <w:sz w:val="22"/>
          <w:szCs w:val="22"/>
        </w:rPr>
        <w:fldChar w:fldCharType="end"/>
      </w:r>
      <w:r w:rsidRPr="00CF1A23">
        <w:rPr>
          <w:rFonts w:ascii="Calibri" w:eastAsia="SimSun" w:hAnsi="Calibri" w:cs="Arial"/>
          <w:bCs/>
          <w:sz w:val="22"/>
          <w:szCs w:val="22"/>
        </w:rPr>
        <w:t xml:space="preserve">: </w:t>
      </w:r>
      <w:bookmarkEnd w:id="7"/>
      <w:bookmarkEnd w:id="8"/>
      <w:r w:rsidR="004E594B" w:rsidRPr="004E594B">
        <w:rPr>
          <w:rFonts w:ascii="Calibri" w:eastAsia="SimSun" w:hAnsi="Calibri" w:cs="Arial"/>
          <w:bCs/>
          <w:sz w:val="22"/>
          <w:szCs w:val="22"/>
        </w:rPr>
        <w:t xml:space="preserve">For both RRC based and MAC-CE based TCI switch, UE </w:t>
      </w:r>
      <w:r w:rsidR="008D43D6">
        <w:rPr>
          <w:rFonts w:ascii="Calibri" w:eastAsia="SimSun" w:hAnsi="Calibri" w:cs="Arial"/>
          <w:bCs/>
          <w:sz w:val="22"/>
          <w:szCs w:val="22"/>
        </w:rPr>
        <w:t>continues the</w:t>
      </w:r>
      <w:r w:rsidR="004E594B" w:rsidRPr="004E594B">
        <w:rPr>
          <w:rFonts w:ascii="Calibri" w:eastAsia="SimSun" w:hAnsi="Calibri" w:cs="Arial"/>
          <w:bCs/>
          <w:sz w:val="22"/>
          <w:szCs w:val="22"/>
        </w:rPr>
        <w:t xml:space="preserve"> </w:t>
      </w:r>
      <w:r w:rsidR="006B415B">
        <w:rPr>
          <w:rFonts w:ascii="Calibri" w:eastAsia="SimSun" w:hAnsi="Calibri" w:cs="Arial"/>
          <w:bCs/>
          <w:sz w:val="22"/>
          <w:szCs w:val="22"/>
        </w:rPr>
        <w:t xml:space="preserve">active </w:t>
      </w:r>
      <w:r w:rsidR="004E594B" w:rsidRPr="004E594B">
        <w:rPr>
          <w:rFonts w:ascii="Calibri" w:eastAsia="SimSun" w:hAnsi="Calibri" w:cs="Arial"/>
          <w:bCs/>
          <w:sz w:val="22"/>
          <w:szCs w:val="22"/>
        </w:rPr>
        <w:t>TCI</w:t>
      </w:r>
      <w:r w:rsidR="008D43D6">
        <w:rPr>
          <w:rFonts w:ascii="Calibri" w:eastAsia="SimSun" w:hAnsi="Calibri" w:cs="Arial"/>
          <w:bCs/>
          <w:sz w:val="22"/>
          <w:szCs w:val="22"/>
        </w:rPr>
        <w:t xml:space="preserve"> </w:t>
      </w:r>
      <w:r w:rsidR="006B415B">
        <w:rPr>
          <w:rFonts w:ascii="Calibri" w:eastAsia="SimSun" w:hAnsi="Calibri" w:cs="Arial"/>
          <w:bCs/>
          <w:sz w:val="22"/>
          <w:szCs w:val="22"/>
        </w:rPr>
        <w:t xml:space="preserve">state </w:t>
      </w:r>
      <w:r w:rsidR="008D43D6">
        <w:rPr>
          <w:rFonts w:ascii="Calibri" w:eastAsia="SimSun" w:hAnsi="Calibri" w:cs="Arial"/>
          <w:bCs/>
          <w:sz w:val="22"/>
          <w:szCs w:val="22"/>
        </w:rPr>
        <w:t>switch</w:t>
      </w:r>
      <w:r w:rsidR="006B415B">
        <w:rPr>
          <w:rFonts w:ascii="Calibri" w:eastAsia="SimSun" w:hAnsi="Calibri" w:cs="Arial"/>
          <w:bCs/>
          <w:sz w:val="22"/>
          <w:szCs w:val="22"/>
        </w:rPr>
        <w:t>ing</w:t>
      </w:r>
      <w:r w:rsidR="008D43D6">
        <w:rPr>
          <w:rFonts w:ascii="Calibri" w:eastAsia="SimSun" w:hAnsi="Calibri" w:cs="Arial"/>
          <w:bCs/>
          <w:sz w:val="22"/>
          <w:szCs w:val="22"/>
        </w:rPr>
        <w:t xml:space="preserve"> with additional time when DL LBT fails</w:t>
      </w:r>
      <w:r w:rsidR="00C3745F">
        <w:rPr>
          <w:rFonts w:ascii="Calibri" w:eastAsia="SimSun" w:hAnsi="Calibri" w:cs="Arial"/>
          <w:bCs/>
          <w:sz w:val="22"/>
          <w:szCs w:val="22"/>
        </w:rPr>
        <w:t xml:space="preserve"> till sufficient DRS samples are received or further TCI-state switch request received from network</w:t>
      </w:r>
      <w:r w:rsidR="008D43D6">
        <w:rPr>
          <w:rFonts w:ascii="Calibri" w:eastAsia="SimSun" w:hAnsi="Calibri" w:cs="Arial"/>
          <w:bCs/>
          <w:sz w:val="22"/>
          <w:szCs w:val="22"/>
        </w:rPr>
        <w:t xml:space="preserve">. The </w:t>
      </w:r>
      <w:r w:rsidR="004E594B" w:rsidRPr="004E594B">
        <w:rPr>
          <w:rFonts w:ascii="Calibri" w:eastAsia="SimSun" w:hAnsi="Calibri" w:cs="Arial"/>
          <w:bCs/>
          <w:sz w:val="22"/>
          <w:szCs w:val="22"/>
        </w:rPr>
        <w:t>max</w:t>
      </w:r>
      <w:r w:rsidR="008D43D6">
        <w:rPr>
          <w:rFonts w:ascii="Calibri" w:eastAsia="SimSun" w:hAnsi="Calibri" w:cs="Arial"/>
          <w:bCs/>
          <w:sz w:val="22"/>
          <w:szCs w:val="22"/>
        </w:rPr>
        <w:t>imum</w:t>
      </w:r>
      <w:r w:rsidR="004E594B" w:rsidRPr="004E594B">
        <w:rPr>
          <w:rFonts w:ascii="Calibri" w:eastAsia="SimSun" w:hAnsi="Calibri" w:cs="Arial"/>
          <w:bCs/>
          <w:sz w:val="22"/>
          <w:szCs w:val="22"/>
        </w:rPr>
        <w:t xml:space="preserve"> extension is not necessary</w:t>
      </w:r>
      <w:r w:rsidR="008D43D6">
        <w:rPr>
          <w:rFonts w:ascii="Calibri" w:eastAsia="SimSun" w:hAnsi="Calibri" w:cs="Arial"/>
          <w:bCs/>
          <w:sz w:val="22"/>
          <w:szCs w:val="22"/>
        </w:rPr>
        <w:t>.</w:t>
      </w:r>
      <w:bookmarkEnd w:id="9"/>
      <w:r w:rsidR="008D43D6">
        <w:rPr>
          <w:rFonts w:ascii="Calibri" w:eastAsia="SimSun" w:hAnsi="Calibri" w:cs="Arial"/>
          <w:bCs/>
          <w:sz w:val="22"/>
          <w:szCs w:val="22"/>
        </w:rPr>
        <w:t xml:space="preserve"> </w:t>
      </w:r>
    </w:p>
    <w:p w:rsidR="00CE0D5E" w:rsidRPr="000C45FD" w:rsidRDefault="00141644" w:rsidP="00544349">
      <w:pPr>
        <w:pStyle w:val="1"/>
        <w:numPr>
          <w:ilvl w:val="0"/>
          <w:numId w:val="1"/>
        </w:numPr>
        <w:rPr>
          <w:rFonts w:ascii="Calibri" w:hAnsi="Calibri"/>
          <w:lang w:eastAsia="zh-CN"/>
        </w:rPr>
      </w:pPr>
      <w:r>
        <w:rPr>
          <w:rFonts w:ascii="Calibri" w:hAnsi="Calibri"/>
        </w:rPr>
        <w:t>Summary</w:t>
      </w:r>
    </w:p>
    <w:p w:rsidR="00687081" w:rsidRPr="00A45739" w:rsidRDefault="006F7557" w:rsidP="001E7AC0">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A45739" w:rsidRPr="00A45739">
        <w:t xml:space="preserve">TCI state switch </w:t>
      </w:r>
      <w:r w:rsidR="002D717F" w:rsidRPr="00A45739">
        <w:t>requirements for NR-U</w:t>
      </w:r>
      <w:r w:rsidR="005B4562" w:rsidRPr="00A45739">
        <w:rPr>
          <w:szCs w:val="20"/>
        </w:rPr>
        <w:t xml:space="preserve"> have</w:t>
      </w:r>
      <w:r w:rsidR="002D717F" w:rsidRPr="00A45739">
        <w:rPr>
          <w:szCs w:val="20"/>
        </w:rPr>
        <w:t xml:space="preserve"> been</w:t>
      </w:r>
      <w:r w:rsidR="00660B4F" w:rsidRPr="00A45739">
        <w:rPr>
          <w:szCs w:val="20"/>
        </w:rPr>
        <w:t xml:space="preserve"> discussed</w:t>
      </w:r>
      <w:r w:rsidR="000D3205" w:rsidRPr="00A45739">
        <w:t>. We have the following observations and proposals</w:t>
      </w:r>
      <w:r w:rsidR="007E7E51" w:rsidRPr="00A45739">
        <w:t>:</w:t>
      </w:r>
    </w:p>
    <w:p w:rsidR="00A45739" w:rsidRDefault="00821933" w:rsidP="001E7AC0">
      <w:pPr>
        <w:adjustRightInd w:val="0"/>
        <w:snapToGrid w:val="0"/>
        <w:spacing w:before="180" w:after="120"/>
        <w:jc w:val="both"/>
        <w:rPr>
          <w:shd w:val="pct15" w:color="auto" w:fill="FFFFFF"/>
        </w:rPr>
      </w:pPr>
      <w:r>
        <w:rPr>
          <w:shd w:val="pct15" w:color="auto" w:fill="FFFFFF"/>
        </w:rPr>
        <w:fldChar w:fldCharType="begin"/>
      </w:r>
      <w:r w:rsidR="00966005">
        <w:rPr>
          <w:shd w:val="pct15" w:color="auto" w:fill="FFFFFF"/>
        </w:rPr>
        <w:instrText xml:space="preserve"> REF _Ref31884255 \h </w:instrText>
      </w:r>
      <w:r>
        <w:rPr>
          <w:shd w:val="pct15" w:color="auto" w:fill="FFFFFF"/>
        </w:rPr>
      </w:r>
      <w:r>
        <w:rPr>
          <w:shd w:val="pct15" w:color="auto" w:fill="FFFFFF"/>
        </w:rPr>
        <w:fldChar w:fldCharType="separate"/>
      </w:r>
      <w:r w:rsidR="00C3745F" w:rsidRPr="003B4CA6">
        <w:rPr>
          <w:rFonts w:ascii="Calibri" w:eastAsia="SimSun" w:hAnsi="Calibri" w:cs="Arial"/>
          <w:b/>
          <w:bCs/>
        </w:rPr>
        <w:t xml:space="preserve">Observation </w:t>
      </w:r>
      <w:r w:rsidR="00C3745F">
        <w:rPr>
          <w:rFonts w:ascii="Calibri" w:eastAsia="SimSun" w:hAnsi="Calibri" w:cs="Arial"/>
          <w:b/>
          <w:bCs/>
          <w:noProof/>
        </w:rPr>
        <w:t>1</w:t>
      </w:r>
      <w:r w:rsidR="00C3745F" w:rsidRPr="003B4CA6">
        <w:rPr>
          <w:rFonts w:ascii="Calibri" w:eastAsia="SimSun" w:hAnsi="Calibri" w:cs="Arial"/>
          <w:b/>
          <w:bCs/>
        </w:rPr>
        <w:t xml:space="preserve">: </w:t>
      </w:r>
      <w:r w:rsidR="00C3745F">
        <w:rPr>
          <w:b/>
        </w:rPr>
        <w:t>W</w:t>
      </w:r>
      <w:r w:rsidR="00C3745F" w:rsidRPr="001A3744">
        <w:rPr>
          <w:b/>
        </w:rPr>
        <w:t>hen DL LBT fails</w:t>
      </w:r>
      <w:r w:rsidR="00C3745F">
        <w:rPr>
          <w:b/>
        </w:rPr>
        <w:t xml:space="preserve">, </w:t>
      </w:r>
      <w:r w:rsidR="00C3745F" w:rsidRPr="001A3744">
        <w:rPr>
          <w:b/>
        </w:rPr>
        <w:t>additional time is required for UE to synchronize</w:t>
      </w:r>
      <w:r w:rsidR="00C3745F">
        <w:rPr>
          <w:b/>
        </w:rPr>
        <w:t xml:space="preserve"> </w:t>
      </w:r>
      <w:r w:rsidR="00C3745F" w:rsidRPr="001A3744">
        <w:rPr>
          <w:b/>
        </w:rPr>
        <w:t>with the new TCI state</w:t>
      </w:r>
      <w:r w:rsidR="00C3745F">
        <w:rPr>
          <w:b/>
        </w:rPr>
        <w:t>. In addition,</w:t>
      </w:r>
      <w:r w:rsidR="00C3745F" w:rsidRPr="001A3744">
        <w:rPr>
          <w:b/>
        </w:rPr>
        <w:t xml:space="preserve"> for unknown TCI switch</w:t>
      </w:r>
      <w:r w:rsidR="00C3745F">
        <w:rPr>
          <w:b/>
        </w:rPr>
        <w:t>,</w:t>
      </w:r>
      <w:r w:rsidR="00C3745F" w:rsidRPr="001A3744">
        <w:rPr>
          <w:b/>
        </w:rPr>
        <w:t xml:space="preserve"> additional time is </w:t>
      </w:r>
      <w:r w:rsidR="00C3745F">
        <w:rPr>
          <w:b/>
        </w:rPr>
        <w:t xml:space="preserve">also </w:t>
      </w:r>
      <w:r w:rsidR="00C3745F" w:rsidRPr="001A3744">
        <w:rPr>
          <w:b/>
        </w:rPr>
        <w:t xml:space="preserve">required for RX beam </w:t>
      </w:r>
      <w:r w:rsidR="00C3745F">
        <w:rPr>
          <w:b/>
        </w:rPr>
        <w:t>refinement.</w:t>
      </w:r>
      <w:r>
        <w:rPr>
          <w:shd w:val="pct15" w:color="auto" w:fill="FFFFFF"/>
        </w:rPr>
        <w:fldChar w:fldCharType="end"/>
      </w:r>
    </w:p>
    <w:p w:rsidR="00966005" w:rsidRDefault="00821933" w:rsidP="001E7AC0">
      <w:pPr>
        <w:adjustRightInd w:val="0"/>
        <w:snapToGrid w:val="0"/>
        <w:spacing w:before="180" w:after="120"/>
        <w:jc w:val="both"/>
        <w:rPr>
          <w:shd w:val="pct15" w:color="auto" w:fill="FFFFFF"/>
        </w:rPr>
      </w:pPr>
      <w:r>
        <w:rPr>
          <w:shd w:val="pct15" w:color="auto" w:fill="FFFFFF"/>
        </w:rPr>
        <w:fldChar w:fldCharType="begin"/>
      </w:r>
      <w:r w:rsidR="00966005">
        <w:rPr>
          <w:shd w:val="pct15" w:color="auto" w:fill="FFFFFF"/>
        </w:rPr>
        <w:instrText xml:space="preserve"> REF _Ref31884259 \h </w:instrText>
      </w:r>
      <w:r>
        <w:rPr>
          <w:shd w:val="pct15" w:color="auto" w:fill="FFFFFF"/>
        </w:rPr>
      </w:r>
      <w:r>
        <w:rPr>
          <w:shd w:val="pct15" w:color="auto" w:fill="FFFFFF"/>
        </w:rPr>
        <w:fldChar w:fldCharType="separate"/>
      </w:r>
      <w:r w:rsidR="00C3745F" w:rsidRPr="003B4CA6">
        <w:rPr>
          <w:rFonts w:ascii="Calibri" w:eastAsia="SimSun" w:hAnsi="Calibri" w:cs="Arial"/>
          <w:b/>
          <w:bCs/>
        </w:rPr>
        <w:t xml:space="preserve">Observation </w:t>
      </w:r>
      <w:r w:rsidR="00C3745F">
        <w:rPr>
          <w:rFonts w:ascii="Calibri" w:eastAsia="SimSun" w:hAnsi="Calibri" w:cs="Arial"/>
          <w:b/>
          <w:bCs/>
          <w:noProof/>
        </w:rPr>
        <w:t>2</w:t>
      </w:r>
      <w:r w:rsidR="00C3745F" w:rsidRPr="003B4CA6">
        <w:rPr>
          <w:rFonts w:ascii="Calibri" w:eastAsia="SimSun" w:hAnsi="Calibri" w:cs="Arial"/>
          <w:b/>
          <w:bCs/>
        </w:rPr>
        <w:t xml:space="preserve">: </w:t>
      </w:r>
      <w:r w:rsidR="00C3745F">
        <w:rPr>
          <w:b/>
        </w:rPr>
        <w:t xml:space="preserve">Exceeding the maximum number of DL LBT failures (i.e. </w:t>
      </w:r>
      <w:r w:rsidR="00C3745F" w:rsidRPr="00687F82">
        <w:rPr>
          <w:b/>
          <w:i/>
        </w:rPr>
        <w:t>L</w:t>
      </w:r>
      <w:r w:rsidR="00C3745F">
        <w:rPr>
          <w:b/>
        </w:rPr>
        <w:t>) is led by heavy loading on the unlicensed band, and staying in the old TCI would still encounter the high DL LBT failure rate.</w:t>
      </w:r>
      <w:r>
        <w:rPr>
          <w:shd w:val="pct15" w:color="auto" w:fill="FFFFFF"/>
        </w:rPr>
        <w:fldChar w:fldCharType="end"/>
      </w:r>
    </w:p>
    <w:p w:rsidR="00966005" w:rsidRDefault="00821933" w:rsidP="001E7AC0">
      <w:pPr>
        <w:adjustRightInd w:val="0"/>
        <w:snapToGrid w:val="0"/>
        <w:spacing w:before="180" w:after="120"/>
        <w:jc w:val="both"/>
        <w:rPr>
          <w:shd w:val="pct15" w:color="auto" w:fill="FFFFFF"/>
        </w:rPr>
      </w:pPr>
      <w:r>
        <w:rPr>
          <w:shd w:val="pct15" w:color="auto" w:fill="FFFFFF"/>
        </w:rPr>
        <w:fldChar w:fldCharType="begin"/>
      </w:r>
      <w:r w:rsidR="00966005">
        <w:rPr>
          <w:shd w:val="pct15" w:color="auto" w:fill="FFFFFF"/>
        </w:rPr>
        <w:instrText xml:space="preserve"> REF _Ref31884262 \h </w:instrText>
      </w:r>
      <w:r>
        <w:rPr>
          <w:shd w:val="pct15" w:color="auto" w:fill="FFFFFF"/>
        </w:rPr>
      </w:r>
      <w:r>
        <w:rPr>
          <w:shd w:val="pct15" w:color="auto" w:fill="FFFFFF"/>
        </w:rPr>
        <w:fldChar w:fldCharType="separate"/>
      </w:r>
      <w:r w:rsidR="00C3745F" w:rsidRPr="003B4CA6">
        <w:rPr>
          <w:rFonts w:ascii="Calibri" w:eastAsia="SimSun" w:hAnsi="Calibri" w:cs="Arial"/>
          <w:b/>
          <w:bCs/>
        </w:rPr>
        <w:t xml:space="preserve">Observation </w:t>
      </w:r>
      <w:r w:rsidR="00C3745F">
        <w:rPr>
          <w:rFonts w:ascii="Calibri" w:eastAsia="SimSun" w:hAnsi="Calibri" w:cs="Arial"/>
          <w:b/>
          <w:bCs/>
          <w:noProof/>
        </w:rPr>
        <w:t>3</w:t>
      </w:r>
      <w:r w:rsidR="00C3745F" w:rsidRPr="003B4CA6">
        <w:rPr>
          <w:rFonts w:ascii="Calibri" w:eastAsia="SimSun" w:hAnsi="Calibri" w:cs="Arial"/>
          <w:b/>
          <w:bCs/>
        </w:rPr>
        <w:t xml:space="preserve">: </w:t>
      </w:r>
      <w:r w:rsidR="00C3745F">
        <w:rPr>
          <w:b/>
        </w:rPr>
        <w:t>T</w:t>
      </w:r>
      <w:r w:rsidR="00C3745F" w:rsidRPr="00DF156E">
        <w:rPr>
          <w:b/>
        </w:rPr>
        <w:t>he reason for network to trigger TCI state switch should still be valid even after several LBT failures</w:t>
      </w:r>
      <w:r w:rsidR="00C3745F">
        <w:rPr>
          <w:b/>
        </w:rPr>
        <w:t>. Staying in the old TCI state will increase the probability of beam failure.</w:t>
      </w:r>
      <w:r>
        <w:rPr>
          <w:shd w:val="pct15" w:color="auto" w:fill="FFFFFF"/>
        </w:rPr>
        <w:fldChar w:fldCharType="end"/>
      </w:r>
    </w:p>
    <w:p w:rsidR="00966005" w:rsidRDefault="00821933" w:rsidP="001E7AC0">
      <w:pPr>
        <w:adjustRightInd w:val="0"/>
        <w:snapToGrid w:val="0"/>
        <w:spacing w:before="180" w:after="120"/>
        <w:jc w:val="both"/>
        <w:rPr>
          <w:shd w:val="pct15" w:color="auto" w:fill="FFFFFF"/>
        </w:rPr>
      </w:pPr>
      <w:r>
        <w:rPr>
          <w:shd w:val="pct15" w:color="auto" w:fill="FFFFFF"/>
        </w:rPr>
        <w:fldChar w:fldCharType="begin"/>
      </w:r>
      <w:r w:rsidR="00966005">
        <w:rPr>
          <w:shd w:val="pct15" w:color="auto" w:fill="FFFFFF"/>
        </w:rPr>
        <w:instrText xml:space="preserve"> REF _Ref31884264 \h </w:instrText>
      </w:r>
      <w:r>
        <w:rPr>
          <w:shd w:val="pct15" w:color="auto" w:fill="FFFFFF"/>
        </w:rPr>
      </w:r>
      <w:r>
        <w:rPr>
          <w:shd w:val="pct15" w:color="auto" w:fill="FFFFFF"/>
        </w:rPr>
        <w:fldChar w:fldCharType="separate"/>
      </w:r>
      <w:r w:rsidR="00C3745F" w:rsidRPr="003B4CA6">
        <w:rPr>
          <w:rFonts w:ascii="Calibri" w:eastAsia="SimSun" w:hAnsi="Calibri" w:cs="Arial"/>
          <w:b/>
          <w:bCs/>
        </w:rPr>
        <w:t xml:space="preserve">Observation </w:t>
      </w:r>
      <w:r w:rsidR="00C3745F">
        <w:rPr>
          <w:rFonts w:ascii="Calibri" w:eastAsia="SimSun" w:hAnsi="Calibri" w:cs="Arial"/>
          <w:b/>
          <w:bCs/>
          <w:noProof/>
        </w:rPr>
        <w:t>4</w:t>
      </w:r>
      <w:r w:rsidR="00C3745F" w:rsidRPr="003B4CA6">
        <w:rPr>
          <w:rFonts w:ascii="Calibri" w:eastAsia="SimSun" w:hAnsi="Calibri" w:cs="Arial"/>
          <w:b/>
          <w:bCs/>
        </w:rPr>
        <w:t xml:space="preserve">: </w:t>
      </w:r>
      <w:r w:rsidR="00C3745F">
        <w:rPr>
          <w:b/>
        </w:rPr>
        <w:t>The DL LBT failure is known at network. Network is able to trigger another new TCI state switch if the original TCI state switch command is considered as outdated.</w:t>
      </w:r>
      <w:r>
        <w:rPr>
          <w:shd w:val="pct15" w:color="auto" w:fill="FFFFFF"/>
        </w:rPr>
        <w:fldChar w:fldCharType="end"/>
      </w:r>
    </w:p>
    <w:p w:rsidR="00873729" w:rsidRPr="00966005" w:rsidRDefault="00821933" w:rsidP="001E7AC0">
      <w:pPr>
        <w:adjustRightInd w:val="0"/>
        <w:snapToGrid w:val="0"/>
        <w:spacing w:before="180" w:after="120"/>
        <w:jc w:val="both"/>
        <w:rPr>
          <w:b/>
          <w:shd w:val="pct15" w:color="auto" w:fill="FFFFFF"/>
        </w:rPr>
      </w:pPr>
      <w:r w:rsidRPr="00966005">
        <w:rPr>
          <w:b/>
          <w:shd w:val="pct15" w:color="auto" w:fill="FFFFFF"/>
        </w:rPr>
        <w:fldChar w:fldCharType="begin"/>
      </w:r>
      <w:r w:rsidR="00966005" w:rsidRPr="00966005">
        <w:rPr>
          <w:b/>
          <w:shd w:val="pct15" w:color="auto" w:fill="FFFFFF"/>
        </w:rPr>
        <w:instrText xml:space="preserve"> REF _Ref31884268 \h </w:instrText>
      </w:r>
      <w:r w:rsidR="00966005">
        <w:rPr>
          <w:b/>
          <w:shd w:val="pct15" w:color="auto" w:fill="FFFFFF"/>
        </w:rPr>
        <w:instrText xml:space="preserve"> \* MERGEFORMAT </w:instrText>
      </w:r>
      <w:r w:rsidRPr="00966005">
        <w:rPr>
          <w:b/>
          <w:shd w:val="pct15" w:color="auto" w:fill="FFFFFF"/>
        </w:rPr>
      </w:r>
      <w:r w:rsidRPr="00966005">
        <w:rPr>
          <w:b/>
          <w:shd w:val="pct15" w:color="auto" w:fill="FFFFFF"/>
        </w:rPr>
        <w:fldChar w:fldCharType="separate"/>
      </w:r>
      <w:r w:rsidR="00C3745F" w:rsidRPr="00C3745F">
        <w:rPr>
          <w:rFonts w:ascii="Calibri" w:eastAsia="SimSun" w:hAnsi="Calibri" w:cs="Arial"/>
          <w:b/>
          <w:bCs/>
        </w:rPr>
        <w:t xml:space="preserve">Proposal </w:t>
      </w:r>
      <w:r w:rsidR="00C3745F" w:rsidRPr="00C3745F">
        <w:rPr>
          <w:rFonts w:ascii="Calibri" w:eastAsia="SimSun" w:hAnsi="Calibri" w:cs="Arial"/>
          <w:b/>
          <w:bCs/>
          <w:noProof/>
        </w:rPr>
        <w:t>1</w:t>
      </w:r>
      <w:r w:rsidR="00C3745F" w:rsidRPr="00C3745F">
        <w:rPr>
          <w:rFonts w:ascii="Calibri" w:eastAsia="SimSun" w:hAnsi="Calibri" w:cs="Arial"/>
          <w:b/>
          <w:bCs/>
        </w:rPr>
        <w:t>: For both RRC based and MAC-CE based TCI switch, UE continues the active TCI state switching with additional time when DL LBT fails till sufficient DRS samples are received</w:t>
      </w:r>
      <w:r w:rsidR="00C3745F">
        <w:rPr>
          <w:rFonts w:ascii="Calibri" w:eastAsia="SimSun" w:hAnsi="Calibri" w:cs="Arial"/>
          <w:bCs/>
        </w:rPr>
        <w:t xml:space="preserve"> </w:t>
      </w:r>
      <w:r w:rsidR="00C3745F" w:rsidRPr="00C3745F">
        <w:rPr>
          <w:rFonts w:ascii="Calibri" w:eastAsia="SimSun" w:hAnsi="Calibri" w:cs="Arial"/>
          <w:b/>
          <w:bCs/>
        </w:rPr>
        <w:t>or further TCI-state switch request received from network. The maximum extension is not necessary.</w:t>
      </w:r>
      <w:r w:rsidRPr="00966005">
        <w:rPr>
          <w:b/>
          <w:shd w:val="pct15" w:color="auto" w:fill="FFFFFF"/>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B5473B" w:rsidRPr="005470E7" w:rsidRDefault="00B5473B" w:rsidP="00B5473B">
      <w:pPr>
        <w:rPr>
          <w:lang w:eastAsia="en-US"/>
        </w:rPr>
      </w:pPr>
      <w:r w:rsidRPr="005470E7">
        <w:rPr>
          <w:lang w:val="en-GB" w:eastAsia="en-US"/>
        </w:rPr>
        <w:t xml:space="preserve">[1] </w:t>
      </w:r>
      <w:r w:rsidR="005470E7" w:rsidRPr="005470E7">
        <w:rPr>
          <w:lang w:val="en-GB" w:eastAsia="en-US"/>
        </w:rPr>
        <w:t>R4-1915777</w:t>
      </w:r>
      <w:r w:rsidRPr="005470E7">
        <w:rPr>
          <w:lang w:val="en-GB" w:eastAsia="en-US"/>
        </w:rPr>
        <w:t xml:space="preserve">, </w:t>
      </w:r>
      <w:r w:rsidRPr="005470E7">
        <w:rPr>
          <w:lang w:eastAsia="en-US"/>
        </w:rPr>
        <w:t xml:space="preserve">WF on </w:t>
      </w:r>
      <w:r w:rsidR="005470E7" w:rsidRPr="005470E7">
        <w:rPr>
          <w:lang w:eastAsia="en-US"/>
        </w:rPr>
        <w:t xml:space="preserve">NR-U </w:t>
      </w:r>
      <w:r w:rsidRPr="005470E7">
        <w:rPr>
          <w:lang w:eastAsia="en-US"/>
        </w:rPr>
        <w:t xml:space="preserve">RRM </w:t>
      </w:r>
      <w:r w:rsidR="005470E7" w:rsidRPr="005470E7">
        <w:rPr>
          <w:lang w:eastAsia="en-US"/>
        </w:rPr>
        <w:t>Requirements</w:t>
      </w:r>
      <w:r w:rsidRPr="005470E7">
        <w:rPr>
          <w:lang w:eastAsia="en-US"/>
        </w:rPr>
        <w:t>, Ericsson.</w:t>
      </w:r>
    </w:p>
    <w:p w:rsidR="00C80529" w:rsidRPr="00A4463B" w:rsidRDefault="00C80529" w:rsidP="00B5473B">
      <w:pPr>
        <w:rPr>
          <w:rFonts w:eastAsia="新細明體" w:cs="Calibri"/>
          <w:color w:val="0D0D0D"/>
        </w:rPr>
      </w:pPr>
    </w:p>
    <w:sectPr w:rsidR="00C80529"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FC5" w:rsidRDefault="00A35FC5">
      <w:r>
        <w:separator/>
      </w:r>
    </w:p>
  </w:endnote>
  <w:endnote w:type="continuationSeparator" w:id="0">
    <w:p w:rsidR="00A35FC5" w:rsidRDefault="00A35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FC5" w:rsidRDefault="00A35FC5">
      <w:r>
        <w:separator/>
      </w:r>
    </w:p>
  </w:footnote>
  <w:footnote w:type="continuationSeparator" w:id="0">
    <w:p w:rsidR="00A35FC5" w:rsidRDefault="00A35F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5"/>
  </w:num>
  <w:num w:numId="2">
    <w:abstractNumId w:val="2"/>
  </w:num>
  <w:num w:numId="3">
    <w:abstractNumId w:val="0"/>
  </w:num>
  <w:num w:numId="4">
    <w:abstractNumId w:val="4"/>
  </w:num>
  <w:num w:numId="5">
    <w:abstractNumId w:val="3"/>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357"/>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45F"/>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720"/>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D172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D172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A41E9-F13A-4C9F-B4F3-D57BC0279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755</Words>
  <Characters>4306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2020-02-12T14:41:00Z</dcterms:created>
  <dcterms:modified xsi:type="dcterms:W3CDTF">2020-02-14T07:44:00Z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